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7"/>
        <w:ind w:left="6945" w:right="0" w:firstLine="0"/>
        <w:rPr>
          <w:sz w:val="28"/>
          <w:szCs w:val="28"/>
        </w:rPr>
      </w:pPr>
      <w:r>
        <w:rPr>
          <w:sz w:val="28"/>
          <w:szCs w:val="28"/>
        </w:rPr>
        <w:t xml:space="preserve">Приложение</w:t>
      </w:r>
      <w:r/>
    </w:p>
    <w:p>
      <w:pPr>
        <w:pStyle w:val="897"/>
        <w:ind w:left="6945" w:right="0" w:firstLine="0"/>
        <w:rPr>
          <w:sz w:val="28"/>
          <w:szCs w:val="28"/>
        </w:rPr>
      </w:pPr>
      <w:r>
        <w:rPr>
          <w:sz w:val="28"/>
          <w:szCs w:val="28"/>
        </w:rPr>
        <w:t xml:space="preserve">УТВЕРЖДЕНА</w:t>
      </w:r>
      <w:r/>
    </w:p>
    <w:p>
      <w:pPr>
        <w:pStyle w:val="897"/>
        <w:ind w:left="6945" w:right="0" w:firstLine="0"/>
        <w:rPr>
          <w:sz w:val="28"/>
          <w:szCs w:val="28"/>
        </w:rPr>
      </w:pPr>
      <w:r>
        <w:rPr>
          <w:sz w:val="28"/>
          <w:szCs w:val="28"/>
        </w:rPr>
        <w:t xml:space="preserve">постановлением</w:t>
      </w:r>
      <w:r/>
    </w:p>
    <w:p>
      <w:pPr>
        <w:pStyle w:val="897"/>
        <w:ind w:left="6945" w:right="0" w:firstLine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района</w:t>
      </w:r>
      <w:bookmarkStart w:id="0" w:name="OCRUncertain001"/>
      <w:r>
        <w:rPr>
          <w:sz w:val="28"/>
          <w:szCs w:val="28"/>
        </w:rPr>
      </w:r>
      <w:r/>
    </w:p>
    <w:p>
      <w:pPr>
        <w:pStyle w:val="897"/>
        <w:ind w:left="6945" w:right="0" w:firstLine="0"/>
        <w:rPr>
          <w:sz w:val="28"/>
          <w:szCs w:val="28"/>
        </w:rPr>
      </w:pPr>
      <w:r>
        <w:rPr>
          <w:sz w:val="28"/>
          <w:szCs w:val="28"/>
        </w:rPr>
        <w:t xml:space="preserve">от «___»________</w:t>
      </w:r>
      <w:bookmarkEnd w:id="0"/>
      <w:r>
        <w:rPr>
          <w:sz w:val="28"/>
          <w:szCs w:val="28"/>
        </w:rPr>
        <w:t xml:space="preserve">_ №</w:t>
      </w:r>
      <w:bookmarkStart w:id="1" w:name="OCRUncertain002"/>
      <w:r>
        <w:rPr>
          <w:sz w:val="28"/>
          <w:szCs w:val="28"/>
        </w:rPr>
        <w:t xml:space="preserve">____</w:t>
      </w:r>
      <w:bookmarkEnd w:id="1"/>
      <w:r>
        <w:rPr>
          <w:sz w:val="28"/>
          <w:szCs w:val="28"/>
        </w:rPr>
      </w:r>
      <w:r/>
    </w:p>
    <w:p>
      <w:pPr>
        <w:pStyle w:val="872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2"/>
        <w:jc w:val="center"/>
        <w:tabs>
          <w:tab w:val="left" w:pos="6663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ПРОГРАММА</w:t>
      </w:r>
      <w:r>
        <w:rPr>
          <w:sz w:val="28"/>
          <w:szCs w:val="28"/>
        </w:rPr>
      </w:r>
      <w:r/>
    </w:p>
    <w:p>
      <w:pPr>
        <w:pStyle w:val="8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профилактики рисков причинения вреда (ущерба) охраняемым законом ценностям по муниципа</w:t>
      </w:r>
      <w:r>
        <w:rPr>
          <w:sz w:val="28"/>
          <w:szCs w:val="28"/>
        </w:rPr>
        <w:t xml:space="preserve">льному контролю в сфере благоустройства, предметом которого является соблюдение правил благоустройства территории городского округа, в том числе требований к обеспечению доступности для инвалидов объектов социальной, инженерной и транспортной инфраструктур</w:t>
      </w:r>
      <w:r>
        <w:rPr>
          <w:sz w:val="28"/>
          <w:szCs w:val="28"/>
        </w:rPr>
        <w:t xml:space="preserve"> и предоставляемых услуг на территории Железнодорожного  района города Барнаула на 2025</w:t>
      </w:r>
      <w:r>
        <w:rPr>
          <w:sz w:val="28"/>
          <w:szCs w:val="28"/>
        </w:rPr>
        <w:t xml:space="preserve"> год</w:t>
      </w:r>
      <w:r>
        <w:rPr>
          <w:sz w:val="28"/>
          <w:szCs w:val="28"/>
        </w:rPr>
      </w:r>
      <w:r/>
    </w:p>
    <w:p>
      <w:pPr>
        <w:pStyle w:val="872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1. Анализ </w:t>
      </w:r>
      <w:r>
        <w:rPr>
          <w:sz w:val="28"/>
          <w:szCs w:val="28"/>
        </w:rPr>
        <w:t xml:space="preserve">текущего </w:t>
      </w:r>
      <w:r>
        <w:rPr>
          <w:sz w:val="28"/>
          <w:szCs w:val="28"/>
        </w:rPr>
        <w:t xml:space="preserve">состояния </w:t>
      </w:r>
      <w:r>
        <w:rPr>
          <w:sz w:val="28"/>
          <w:szCs w:val="28"/>
        </w:rPr>
        <w:t xml:space="preserve">осуществления муниципального </w:t>
      </w:r>
      <w:r>
        <w:rPr>
          <w:sz w:val="28"/>
          <w:szCs w:val="28"/>
        </w:rPr>
        <w:t xml:space="preserve">контроля </w:t>
      </w:r>
      <w:r>
        <w:rPr>
          <w:sz w:val="28"/>
          <w:szCs w:val="28"/>
        </w:rPr>
        <w:t xml:space="preserve">в сфере благоустройства, </w:t>
      </w:r>
      <w:r>
        <w:rPr>
          <w:sz w:val="28"/>
          <w:szCs w:val="28"/>
        </w:rPr>
        <w:t xml:space="preserve">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рисков причинения вреда</w:t>
      </w:r>
      <w:r/>
    </w:p>
    <w:p>
      <w:pPr>
        <w:pStyle w:val="87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72"/>
        <w:ind w:firstLine="709"/>
        <w:jc w:val="both"/>
      </w:pPr>
      <w:r>
        <w:rPr>
          <w:sz w:val="28"/>
          <w:szCs w:val="28"/>
        </w:rPr>
        <w:t xml:space="preserve">В соответствии с ч.1 ст.1 </w:t>
      </w:r>
      <w:r>
        <w:rPr>
          <w:sz w:val="28"/>
          <w:szCs w:val="28"/>
        </w:rPr>
        <w:t xml:space="preserve">Федеральн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закон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от 31.07.2020 </w:t>
      </w: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№248-ФЗ «О государственном контроле (надзоре) и муниципальном контроле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Российской Федерации» (далее –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Федеральный закон</w:t>
      </w:r>
      <w:r>
        <w:rPr>
          <w:sz w:val="28"/>
          <w:szCs w:val="28"/>
        </w:rPr>
        <w:t xml:space="preserve"> №248-ФЗ</w:t>
      </w:r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муниципальный контроль осуществляется, в том числе, посредством профилактики нарушений обязательных требований. 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Органы местного самоуправления организуют и осуществляют муниципальный контроль за соблюдением требований, установленных муниципальными правовыми актами, принятыми по вопросам местного значения, а в</w:t>
      </w:r>
      <w:r>
        <w:rPr>
          <w:sz w:val="28"/>
          <w:szCs w:val="28"/>
        </w:rPr>
        <w:t xml:space="preserve">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субъектов Российской Федерации.</w:t>
      </w:r>
      <w:r>
        <w:rPr>
          <w:sz w:val="28"/>
          <w:szCs w:val="28"/>
          <w:highlight w:val="none"/>
        </w:rPr>
      </w:r>
      <w:r/>
    </w:p>
    <w:p>
      <w:pPr>
        <w:pStyle w:val="872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Муниципальный контроль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сфере благоустройства </w:t>
      </w:r>
      <w:r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  <w:t xml:space="preserve">посредством </w:t>
      </w:r>
      <w:r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 xml:space="preserve">мероприятий, направленных на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редупреждение, выявление и пресечение нарушений обязательных требований, в пределах полномочий контрольного органа посредством профилактики нарушений обязательных требований, оценки соблюдения контролируемыми лицами обязательных требований, выявления их на</w:t>
      </w:r>
      <w:r>
        <w:rPr>
          <w:sz w:val="28"/>
          <w:szCs w:val="28"/>
        </w:rPr>
        <w:t xml:space="preserve">рушений,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</w:t>
      </w: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Предметом муниципального контроля в сфере благоустройства, является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/>
    </w:p>
    <w:p>
      <w:pPr>
        <w:pStyle w:val="87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соблюдение контролируемыми лицами Правил благоустройства территории городского округа - города Барнаула Алтайского края,</w:t>
      </w:r>
      <w:r>
        <w:rPr>
          <w:sz w:val="28"/>
          <w:szCs w:val="28"/>
        </w:rPr>
        <w:t xml:space="preserve"> утвержденных решением Барнаульской городской Думы от 19.03.2021 №645, (далее – Правила благоустройства) и иных муниципальных пр</w:t>
      </w:r>
      <w:r>
        <w:rPr>
          <w:sz w:val="28"/>
          <w:szCs w:val="28"/>
        </w:rPr>
        <w:t xml:space="preserve">авовых актов города Барнаула в области благоустройства, принятых в соответствии с Правилами благоустройства,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</w:t>
      </w:r>
      <w:r>
        <w:rPr>
          <w:sz w:val="28"/>
          <w:szCs w:val="28"/>
        </w:rPr>
        <w:t xml:space="preserve">; </w:t>
      </w:r>
      <w:r>
        <w:rPr>
          <w:sz w:val="28"/>
          <w:szCs w:val="28"/>
        </w:rPr>
      </w:r>
      <w:r/>
    </w:p>
    <w:p>
      <w:pPr>
        <w:pStyle w:val="87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исполнение контролируемыми лицами решений, принимаемых по результатам контрольных мероприятий. </w:t>
      </w:r>
      <w:r/>
    </w:p>
    <w:p>
      <w:pPr>
        <w:pStyle w:val="87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К</w:t>
      </w:r>
      <w:r>
        <w:rPr>
          <w:sz w:val="28"/>
          <w:szCs w:val="28"/>
        </w:rPr>
        <w:t xml:space="preserve">онтрол</w:t>
      </w:r>
      <w:r>
        <w:rPr>
          <w:sz w:val="28"/>
          <w:szCs w:val="28"/>
        </w:rPr>
        <w:t xml:space="preserve">ируемыми </w:t>
      </w:r>
      <w:r>
        <w:rPr>
          <w:sz w:val="28"/>
          <w:szCs w:val="28"/>
        </w:rPr>
        <w:t xml:space="preserve">лицами </w:t>
      </w:r>
      <w:r>
        <w:rPr>
          <w:sz w:val="28"/>
          <w:szCs w:val="28"/>
        </w:rPr>
        <w:t xml:space="preserve">при осуществлении </w:t>
      </w:r>
      <w:r>
        <w:rPr>
          <w:color w:val="000000"/>
          <w:sz w:val="28"/>
          <w:szCs w:val="28"/>
        </w:rPr>
        <w:t xml:space="preserve">контрол</w:t>
      </w:r>
      <w:r>
        <w:rPr>
          <w:color w:val="000000"/>
          <w:sz w:val="28"/>
          <w:szCs w:val="28"/>
        </w:rPr>
        <w:t xml:space="preserve">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сфере благоустройства</w:t>
      </w:r>
      <w:r>
        <w:rPr>
          <w:sz w:val="28"/>
          <w:szCs w:val="28"/>
        </w:rPr>
        <w:t xml:space="preserve"> в соответствии со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статьей 31 Федерального закона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№248-ФЗ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являются </w:t>
      </w:r>
      <w:r>
        <w:rPr>
          <w:sz w:val="28"/>
          <w:szCs w:val="28"/>
        </w:rPr>
        <w:t xml:space="preserve">граждане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организации, деятельность, действия или результаты деятельности которых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либо производственные объекты, находящиеся во владении и (или) в пользовании которых, подлежат муниципальному контролю.</w:t>
      </w:r>
      <w:r>
        <w:rPr>
          <w:sz w:val="28"/>
          <w:szCs w:val="28"/>
        </w:rPr>
      </w:r>
      <w:r/>
    </w:p>
    <w:p>
      <w:pPr>
        <w:pStyle w:val="872"/>
        <w:ind w:firstLine="708"/>
        <w:jc w:val="both"/>
        <w:tabs>
          <w:tab w:val="left" w:pos="56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Администрацией Железнодорожного района (далее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администрация) в течение 202</w:t>
      </w:r>
      <w:r>
        <w:rPr>
          <w:sz w:val="28"/>
          <w:szCs w:val="28"/>
        </w:rPr>
        <w:t xml:space="preserve">4 года осуществлялась профилактическая деятельность, направленная на недопущение, устранение нарушений обязательных требований в указанной сфере.</w:t>
      </w:r>
      <w:r/>
    </w:p>
    <w:p>
      <w:pPr>
        <w:pStyle w:val="872"/>
        <w:ind w:firstLine="708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На странице администрации района на официальном Интернет-сайте города Барнаула размещен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тексты нормативных правовых актов, регулирующих осущес</w:t>
      </w:r>
      <w:r>
        <w:rPr>
          <w:sz w:val="28"/>
          <w:szCs w:val="28"/>
        </w:rPr>
        <w:t xml:space="preserve">твление муниципального контроля; </w:t>
      </w:r>
      <w:r>
        <w:rPr>
          <w:sz w:val="28"/>
          <w:szCs w:val="28"/>
        </w:rPr>
        <w:t xml:space="preserve">сведения </w:t>
      </w:r>
      <w:r>
        <w:rPr>
          <w:sz w:val="28"/>
          <w:szCs w:val="28"/>
        </w:rPr>
        <w:t xml:space="preserve">об изменениях, внесенных в нормативные правовые акты, регулирующие осуществление муниципального контроля, о сроках и порядке </w:t>
      </w:r>
      <w:r>
        <w:rPr>
          <w:sz w:val="28"/>
          <w:szCs w:val="28"/>
        </w:rPr>
        <w:t xml:space="preserve">их вступления в силу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  <w:t xml:space="preserve">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мерах ответственности, применяемых при нарушении обязательных требований, с </w:t>
      </w:r>
      <w:r>
        <w:rPr>
          <w:sz w:val="28"/>
          <w:szCs w:val="28"/>
        </w:rPr>
        <w:t xml:space="preserve">текстами в действующей редакции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профилактики рисков причинения вреда</w:t>
      </w:r>
      <w:r>
        <w:rPr>
          <w:sz w:val="28"/>
          <w:szCs w:val="28"/>
        </w:rPr>
        <w:t xml:space="preserve"> на 202</w:t>
      </w:r>
      <w:r>
        <w:rPr>
          <w:sz w:val="28"/>
          <w:szCs w:val="28"/>
        </w:rPr>
        <w:t xml:space="preserve">4 год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  <w:t xml:space="preserve"> исчерпывающий перечень сведений, которые могут запрашиваться контрольным</w:t>
      </w:r>
      <w:r>
        <w:rPr>
          <w:sz w:val="28"/>
          <w:szCs w:val="28"/>
        </w:rPr>
        <w:t xml:space="preserve"> органом </w:t>
      </w:r>
      <w:r>
        <w:rPr>
          <w:sz w:val="28"/>
          <w:szCs w:val="28"/>
        </w:rPr>
        <w:t xml:space="preserve">у контролируемого лица</w:t>
      </w:r>
      <w:r>
        <w:rPr>
          <w:sz w:val="28"/>
          <w:szCs w:val="28"/>
        </w:rPr>
        <w:t xml:space="preserve">;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сведения о способах получения консультаций </w:t>
      </w:r>
      <w:r>
        <w:rPr>
          <w:sz w:val="28"/>
          <w:szCs w:val="28"/>
        </w:rPr>
        <w:t xml:space="preserve">по вопросам соб</w:t>
      </w:r>
      <w:r>
        <w:rPr>
          <w:sz w:val="28"/>
          <w:szCs w:val="28"/>
        </w:rPr>
        <w:t xml:space="preserve">людения обязательных требований, </w:t>
      </w:r>
      <w:r>
        <w:rPr>
          <w:sz w:val="28"/>
          <w:szCs w:val="28"/>
        </w:rPr>
        <w:t xml:space="preserve">сведения о порядке досудебного обжалования решений контрольного органа, действий (б</w:t>
      </w:r>
      <w:r>
        <w:rPr>
          <w:sz w:val="28"/>
          <w:szCs w:val="28"/>
        </w:rPr>
        <w:t xml:space="preserve">ездействия) его должностных лиц.</w:t>
      </w:r>
      <w:r>
        <w:rPr>
          <w:sz w:val="28"/>
          <w:szCs w:val="28"/>
        </w:rPr>
      </w:r>
      <w:r/>
    </w:p>
    <w:p>
      <w:pPr>
        <w:ind w:firstLine="708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Администрацией района по состоянию на 24.09.2024 проведено </w:t>
        <w:br/>
        <w:t xml:space="preserve">176 </w:t>
      </w:r>
      <w:r>
        <w:rPr>
          <w:rFonts w:ascii="Times New Roman" w:hAnsi="Times New Roman" w:cs="Times New Roman"/>
          <w:sz w:val="28"/>
          <w:szCs w:val="28"/>
        </w:rPr>
        <w:t xml:space="preserve">контрольных (надзорных)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без взаимодействия с контролируемым лицом, по результатам которых</w:t>
      </w:r>
      <w:r>
        <w:rPr>
          <w:rFonts w:ascii="Times New Roman" w:hAnsi="Times New Roman" w:cs="Times New Roman"/>
          <w:sz w:val="28"/>
          <w:szCs w:val="28"/>
        </w:rPr>
        <w:t xml:space="preserve"> выдан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157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рекомендаций</w:t>
      </w:r>
      <w:r>
        <w:rPr>
          <w:rFonts w:ascii="Times New Roman" w:hAnsi="Times New Roman" w:cs="Times New Roman"/>
          <w:b w:val="0"/>
          <w:bCs w:val="0"/>
          <w:sz w:val="28"/>
          <w:szCs w:val="22"/>
        </w:rPr>
        <w:t xml:space="preserve">, по результатам 23</w:t>
      </w:r>
      <w:r>
        <w:rPr>
          <w:rFonts w:ascii="Times New Roman" w:hAnsi="Times New Roman" w:cs="Times New Roman"/>
          <w:b w:val="0"/>
          <w:bCs w:val="0"/>
          <w:sz w:val="28"/>
          <w:szCs w:val="22"/>
        </w:rPr>
        <w:t xml:space="preserve"> </w:t>
      </w:r>
      <w:r>
        <w:rPr>
          <w:rFonts w:ascii="Times New Roman" w:hAnsi="Times New Roman" w:cs="Times New Roman"/>
          <w:sz w:val="28"/>
          <w:szCs w:val="22"/>
        </w:rPr>
        <w:t xml:space="preserve">мероприятий нарушений не выявлено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pStyle w:val="872"/>
        <w:jc w:val="center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Раздел 2. </w:t>
      </w:r>
      <w:r>
        <w:rPr>
          <w:sz w:val="28"/>
          <w:szCs w:val="28"/>
        </w:rPr>
        <w:t xml:space="preserve">Цели и задачи реализации программы профилактики</w:t>
      </w:r>
      <w:r>
        <w:rPr>
          <w:sz w:val="28"/>
          <w:szCs w:val="28"/>
        </w:rPr>
        <w:t xml:space="preserve"> рисков причинения вреда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pStyle w:val="872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Цели разработки Программы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рофилактики рисков причинения вреда (ущерба) охраняемым законом ценностям по муниципальному контролю в сфере благоустройства, предметом которого является соблюдение правил благоустройства территории городского округа, в том числе требований к обеспечению д</w:t>
      </w:r>
      <w:r>
        <w:rPr>
          <w:sz w:val="28"/>
          <w:szCs w:val="28"/>
        </w:rPr>
        <w:t xml:space="preserve">оступности для инвалидов объектов социальной, инженерной и транспортной инфраструктур и предоставляемых услуг на территории Железнодорожного района города Барнаула на 2025 год</w:t>
      </w:r>
      <w:r>
        <w:rPr>
          <w:sz w:val="28"/>
          <w:szCs w:val="28"/>
        </w:rPr>
        <w:t xml:space="preserve"> (далее – Программа профилактики) и проведения пр</w:t>
      </w:r>
      <w:r>
        <w:rPr>
          <w:sz w:val="28"/>
          <w:szCs w:val="28"/>
        </w:rPr>
        <w:t xml:space="preserve">офилактической работы:</w:t>
      </w:r>
      <w:r>
        <w:rPr>
          <w:sz w:val="28"/>
          <w:szCs w:val="28"/>
        </w:rPr>
      </w:r>
      <w:r/>
    </w:p>
    <w:p>
      <w:pPr>
        <w:pStyle w:val="872"/>
        <w:ind w:left="59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sz w:val="28"/>
          <w:szCs w:val="28"/>
        </w:rPr>
        <w:t xml:space="preserve">предупреждение нарушения подконтрольными субъектами обязательных требований, требований, установленных муниципальными правовыми актами, включая устранение причин, факторов и условий, способствующих возможному нарушению обязательных требований;</w:t>
      </w:r>
      <w:r>
        <w:rPr>
          <w:sz w:val="28"/>
          <w:szCs w:val="28"/>
        </w:rPr>
      </w:r>
      <w:r/>
    </w:p>
    <w:p>
      <w:pPr>
        <w:ind w:left="5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bCs/>
          <w:sz w:val="28"/>
          <w:szCs w:val="28"/>
        </w:rPr>
        <w:tab/>
      </w:r>
      <w:r>
        <w:rPr>
          <w:sz w:val="28"/>
          <w:szCs w:val="28"/>
        </w:rPr>
        <w:t xml:space="preserve">повышение прозрачности системы муниципального контроля;</w:t>
      </w:r>
      <w:r>
        <w:rPr>
          <w:sz w:val="28"/>
          <w:szCs w:val="28"/>
        </w:rPr>
      </w:r>
      <w:r/>
    </w:p>
    <w:p>
      <w:pPr>
        <w:pStyle w:val="872"/>
        <w:ind w:left="5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формиров</w:t>
      </w:r>
      <w:r>
        <w:rPr>
          <w:sz w:val="28"/>
          <w:szCs w:val="28"/>
        </w:rPr>
        <w:t xml:space="preserve">ание единого понимания обязательных требований, требований, установленных муниципальными правовыми актами и создание системы профилактики правонарушений, направленной на выявление и предупреждение причин и условий, способствующих совершению правонарушений;</w:t>
      </w:r>
      <w:r/>
    </w:p>
    <w:p>
      <w:pPr>
        <w:pStyle w:val="872"/>
        <w:ind w:left="5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повышение уровня правовой грамотности подконтрольных субъектов, в том числе путем доступности информации об обязательных требованиях и необходимых мерах по их исполнению;</w:t>
      </w:r>
      <w:r/>
    </w:p>
    <w:p>
      <w:pPr>
        <w:pStyle w:val="872"/>
        <w:ind w:left="5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мотивация подконтрольных субъектов к добросовестному поведению.</w:t>
      </w:r>
      <w:r/>
    </w:p>
    <w:p>
      <w:pPr>
        <w:pStyle w:val="872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профилактических мероприятий Программы позволяет решить следующие задачи:</w:t>
      </w:r>
      <w:r/>
    </w:p>
    <w:p>
      <w:pPr>
        <w:pStyle w:val="872"/>
        <w:ind w:left="5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выявление причин, факторов и условий, способствующих причинению вреда (ущерба) охраняемым законом ценностям и нарушению обязательных требований, определение способов устранения или снижения рисков их возникновения;</w:t>
      </w:r>
      <w:r/>
    </w:p>
    <w:p>
      <w:pPr>
        <w:pStyle w:val="872"/>
        <w:ind w:left="5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ab/>
        <w:t xml:space="preserve">устранение причин, факторов и условий, способствующих возможному причинению вреда (ущерба) охраняемым законом ценностям и нарушению обязательных требований;</w:t>
      </w:r>
      <w:r>
        <w:rPr>
          <w:sz w:val="28"/>
          <w:szCs w:val="28"/>
          <w:highlight w:val="none"/>
        </w:rPr>
      </w:r>
      <w:r/>
    </w:p>
    <w:p>
      <w:pPr>
        <w:pStyle w:val="872"/>
        <w:ind w:left="59"/>
        <w:jc w:val="both"/>
        <w:rPr>
          <w:highlight w:val="non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снижение уровня административной нагрузки на организации и граждан, осуществляющих предпринимательскую деятельность</w:t>
      </w:r>
      <w:r>
        <w:rPr>
          <w:sz w:val="28"/>
          <w:szCs w:val="28"/>
        </w:rPr>
        <w:t xml:space="preserve">.</w:t>
      </w:r>
      <w:r>
        <w:rPr>
          <w:highlight w:val="none"/>
        </w:rPr>
      </w:r>
      <w:r/>
    </w:p>
    <w:p>
      <w:pPr>
        <w:ind w:left="59"/>
        <w:jc w:val="both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872"/>
        <w:jc w:val="center"/>
        <w:rPr>
          <w:sz w:val="28"/>
          <w:szCs w:val="28"/>
          <w:highlight w:val="none"/>
        </w:rPr>
      </w:pPr>
      <w:r/>
      <w:bookmarkStart w:id="2" w:name="sub_7701"/>
      <w:r>
        <w:rPr>
          <w:sz w:val="28"/>
          <w:szCs w:val="28"/>
        </w:rPr>
        <w:t xml:space="preserve">Раздел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еречень профилактических мероприятий, сроки (периодичность) их проведения</w:t>
      </w:r>
      <w:bookmarkEnd w:id="2"/>
      <w:r>
        <w:rPr>
          <w:sz w:val="28"/>
          <w:szCs w:val="28"/>
        </w:rPr>
      </w:r>
      <w:r/>
    </w:p>
    <w:tbl>
      <w:tblPr>
        <w:tblStyle w:val="728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3260"/>
        <w:gridCol w:w="2268"/>
        <w:gridCol w:w="1951"/>
      </w:tblGrid>
      <w:tr>
        <w:trPr/>
        <w:tc>
          <w:tcPr>
            <w:tcW w:w="675" w:type="dxa"/>
            <w:vMerge w:val="restart"/>
            <w:textDirection w:val="lrTb"/>
            <w:noWrap w:val="false"/>
          </w:tcPr>
          <w:p>
            <w:pPr>
              <w:pStyle w:val="8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8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мероприятия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pStyle w:val="8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мероприятии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8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реализации мероприятия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951" w:type="dxa"/>
            <w:vMerge w:val="restart"/>
            <w:textDirection w:val="lrTb"/>
            <w:noWrap w:val="false"/>
          </w:tcPr>
          <w:p>
            <w:pPr>
              <w:pStyle w:val="8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исполнитель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Borders>
              <w:bottom w:val="single" w:color="000000" w:sz="12" w:space="0"/>
            </w:tcBorders>
            <w:tcW w:w="675" w:type="dxa"/>
            <w:vMerge w:val="restart"/>
            <w:textDirection w:val="lrTb"/>
            <w:noWrap w:val="false"/>
          </w:tcPr>
          <w:p>
            <w:pPr>
              <w:pStyle w:val="8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</w:r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872"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Информирование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</w:tc>
        <w:tc>
          <w:tcPr>
            <w:tcW w:w="3260" w:type="dxa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  <w:outlineLvl w:val="2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дминистрация района осуществляет информирование контролируемых лиц и иных заинтересованных лиц по вопросам соблюдения обязательных требований посредством размещения соответствующих сведений на странице администрации района на официальном Интернет-сайте гор</w:t>
            </w:r>
            <w:r>
              <w:rPr>
                <w:sz w:val="24"/>
                <w:szCs w:val="24"/>
              </w:rPr>
              <w:t xml:space="preserve">ода Барнаула и в иных формах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года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(по мере необходимости</w:t>
            </w:r>
            <w:r>
              <w:rPr>
                <w:sz w:val="24"/>
                <w:szCs w:val="24"/>
              </w:rPr>
              <w:t xml:space="preserve">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951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коммунального хозяйства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/>
            <w:r/>
          </w:p>
        </w:tc>
      </w:tr>
      <w:tr>
        <w:trPr/>
        <w:tc>
          <w:tcPr>
            <w:tcBorders>
              <w:top w:val="single" w:color="000000" w:sz="12" w:space="0"/>
            </w:tcBorders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12" w:space="0"/>
            </w:tcBorders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outlineLvl w:val="2"/>
            </w:pPr>
            <w:r>
              <w:rPr>
                <w:sz w:val="24"/>
                <w:szCs w:val="24"/>
                <w:highlight w:val="none"/>
              </w:rPr>
            </w:r>
            <w:r>
              <w:rPr>
                <w:sz w:val="24"/>
                <w:szCs w:val="24"/>
                <w:highlight w:val="none"/>
              </w:rPr>
              <w:t xml:space="preserve">Администрация района размещает и поддерживает в актуальном состоянии на странице администрации района на официальном Интернет-сайте города Барнаула:</w:t>
            </w:r>
            <w:r>
              <w:rPr>
                <w:sz w:val="24"/>
                <w:szCs w:val="24"/>
                <w:highlight w:val="none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  <w:highlight w:val="none"/>
              </w:rPr>
              <w:outlineLvl w:val="2"/>
            </w:pPr>
            <w:r>
              <w:rPr>
                <w:sz w:val="24"/>
                <w:szCs w:val="24"/>
              </w:rPr>
              <w:t xml:space="preserve">1)</w:t>
            </w:r>
            <w:r>
              <w:rPr>
                <w:sz w:val="24"/>
                <w:szCs w:val="24"/>
              </w:rPr>
              <w:t xml:space="preserve"> тексты нормативных правовых актов, регулирующих осуществление муниципального контроля;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951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260"/>
        </w:trPr>
        <w:tc>
          <w:tcPr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</w:t>
            </w:r>
            <w:r>
              <w:rPr>
                <w:sz w:val="24"/>
                <w:szCs w:val="24"/>
              </w:rPr>
              <w:t xml:space="preserve"> 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951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3959"/>
        </w:trPr>
        <w:tc>
          <w:tcPr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none" w:color="000000" w:sz="4" w:space="0"/>
            </w:tcBorders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 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</w:t>
            </w:r>
            <w:r>
              <w:rPr>
                <w:sz w:val="24"/>
                <w:szCs w:val="24"/>
              </w:rPr>
              <w:t xml:space="preserve">ований, с текстами в действующей редакции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</w:tcBorders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951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  <w:outlineLvl w:val="2"/>
            </w:pPr>
            <w:r>
              <w:rPr>
                <w:sz w:val="24"/>
                <w:szCs w:val="24"/>
              </w:rPr>
              <w:t xml:space="preserve">4) </w:t>
            </w:r>
            <w:r>
              <w:rPr>
                <w:sz w:val="24"/>
                <w:szCs w:val="24"/>
              </w:rPr>
              <w:t xml:space="preserve">утвержденные проверочные листы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951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76"/>
        </w:trPr>
        <w:tc>
          <w:tcPr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  <w:outlineLvl w:val="2"/>
            </w:pPr>
            <w:r>
              <w:rPr>
                <w:sz w:val="24"/>
                <w:szCs w:val="24"/>
              </w:rPr>
              <w:t xml:space="preserve">5) </w:t>
            </w:r>
            <w:r>
              <w:rPr>
                <w:sz w:val="24"/>
                <w:szCs w:val="24"/>
              </w:rPr>
              <w:t xml:space="preserve">руководства по соблюдению обязательных требований, разработанные и утвержденные в соответствии с Федеральным законом от 31.07.2020 № 247-ФЗ «Об обязательных требованиях в Российской Федерации»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951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6) </w:t>
            </w:r>
            <w:r>
              <w:rPr>
                <w:sz w:val="24"/>
                <w:szCs w:val="24"/>
              </w:rPr>
              <w:t xml:space="preserve">перечень индикаторов риска нарушения обязательных требований, порядок отнесения объектов контроля к категориям риска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951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818"/>
        </w:trPr>
        <w:tc>
          <w:tcPr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  <w:outlineLvl w:val="2"/>
            </w:pPr>
            <w:r>
              <w:rPr>
                <w:sz w:val="24"/>
                <w:szCs w:val="24"/>
              </w:rPr>
              <w:t xml:space="preserve">7) </w:t>
            </w:r>
            <w:r>
              <w:rPr>
                <w:sz w:val="24"/>
                <w:szCs w:val="24"/>
              </w:rPr>
              <w:t xml:space="preserve">перечень объектов контроля, учитываемых в рамках формирования ежегодного плана контрольных мероприятий, с указанием категории риска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951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76"/>
        </w:trPr>
        <w:tc>
          <w:tcPr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8) </w:t>
            </w:r>
            <w:r>
              <w:rPr>
                <w:sz w:val="24"/>
                <w:szCs w:val="24"/>
              </w:rPr>
              <w:t xml:space="preserve">программу профилактики рисков причинения вреда и план проведения плановых контрольных мероприятий контрольным органом (при проведении таких мероприятий)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до 25.12.2025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951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76"/>
        </w:trPr>
        <w:tc>
          <w:tcPr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  <w:t xml:space="preserve">)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исчерпывающий перечень сведений, которые могут запрашиваться контрольным органом у контролируемого лица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года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(по мере необходимости)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951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174"/>
        </w:trPr>
        <w:tc>
          <w:tcPr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  <w:t xml:space="preserve">)</w:t>
            </w:r>
            <w:r>
              <w:rPr>
                <w:sz w:val="24"/>
                <w:szCs w:val="24"/>
              </w:rPr>
              <w:t xml:space="preserve">сведения о способах получения консультаций по вопросам соблюдения обязательных требований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951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76"/>
        </w:trPr>
        <w:tc>
          <w:tcPr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  <w:lang w:val="en-US"/>
              </w:rPr>
              <w:t xml:space="preserve">)</w:t>
            </w:r>
            <w:r>
              <w:rPr>
                <w:sz w:val="24"/>
                <w:szCs w:val="24"/>
                <w:lang w:val="en-US"/>
              </w:rPr>
              <w:t xml:space="preserve">доклады, содержащие результаты обобщения правоприменительной практики контрольного органа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15.03.2025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951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12)</w:t>
            </w:r>
            <w:r>
              <w:rPr>
                <w:sz w:val="24"/>
                <w:szCs w:val="24"/>
              </w:rPr>
              <w:t xml:space="preserve"> доклады о муниципальном контроле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bottom w:val="none" w:color="000000" w:sz="4" w:space="0"/>
            </w:tcBorders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951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007"/>
        </w:trPr>
        <w:tc>
          <w:tcPr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bottom w:val="single" w:color="000000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13) </w:t>
            </w:r>
            <w:r>
              <w:rPr>
                <w:sz w:val="24"/>
                <w:szCs w:val="24"/>
              </w:rPr>
              <w:t xml:space="preserve"> иные сведения, предусмотренные нормативными правовыми актами Российской Федерации, Алтайского края и муниципальными правовыми актами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</w:rPr>
              <w:t xml:space="preserve">в течении года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none"/>
              </w:rPr>
              <w:t xml:space="preserve">(по мере необходимости)</w:t>
            </w:r>
            <w:r>
              <w:rPr>
                <w:sz w:val="24"/>
                <w:szCs w:val="24"/>
                <w:highlight w:val="none"/>
              </w:rPr>
            </w:r>
            <w:r/>
          </w:p>
        </w:tc>
        <w:tc>
          <w:tcPr>
            <w:tcW w:w="1951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675" w:type="dxa"/>
            <w:vMerge w:val="restart"/>
            <w:textDirection w:val="lrTb"/>
            <w:noWrap w:val="false"/>
          </w:tcPr>
          <w:p>
            <w:pPr>
              <w:pStyle w:val="8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Обобщение правопримени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тельной практики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  <w:outlineLvl w:val="2"/>
            </w:pPr>
            <w:r>
              <w:rPr>
                <w:sz w:val="24"/>
                <w:szCs w:val="24"/>
              </w:rPr>
              <w:t xml:space="preserve">Подготовка проекта доклада, содержащего результаты обобщения правоприменительной практики (далее – доклад о правоприменительной практике)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01.02.202</w:t>
            </w: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tcW w:w="1951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Правовой отдел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коммунального хозяйства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строительству и архитектуре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развитию предпринима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тельства и потребитель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скому рынку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делам молодежи, культуре, физкультуре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спорту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  <w:outlineLvl w:val="2"/>
            </w:pPr>
            <w:r>
              <w:rPr>
                <w:sz w:val="24"/>
                <w:szCs w:val="24"/>
              </w:rPr>
              <w:t xml:space="preserve">Размещение проекта доклада о правоприменительной практике на официальном Интернет-сайте города Барнаула для публичного обсуждения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15.02.202</w:t>
            </w:r>
            <w:r>
              <w:rPr>
                <w:sz w:val="24"/>
                <w:szCs w:val="24"/>
              </w:rPr>
              <w:t xml:space="preserve">5</w:t>
            </w:r>
            <w:r/>
          </w:p>
        </w:tc>
        <w:tc>
          <w:tcPr>
            <w:tcW w:w="1951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jc w:val="both"/>
              <w:rPr>
                <w:highlight w:val="none"/>
              </w:rPr>
            </w:pPr>
            <w:r>
              <w:rPr>
                <w:sz w:val="23"/>
                <w:szCs w:val="23"/>
                <w:highlight w:val="none"/>
                <w:lang w:eastAsia="ru-RU"/>
              </w:rPr>
              <w:t xml:space="preserve">Размещение доклада о правоприменительной практике на официальном Интернет-сайте города Барнаула</w:t>
            </w:r>
            <w:r>
              <w:rPr>
                <w:highlight w:val="none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left"/>
              <w:rPr>
                <w:highlight w:val="none"/>
              </w:rPr>
            </w:pPr>
            <w:r>
              <w:rPr>
                <w:sz w:val="23"/>
                <w:szCs w:val="23"/>
                <w:highlight w:val="none"/>
                <w:lang w:eastAsia="ru-RU"/>
              </w:rPr>
              <w:t xml:space="preserve">до 15.03.2025</w:t>
            </w:r>
            <w:r>
              <w:rPr>
                <w:highlight w:val="none"/>
              </w:rPr>
            </w:r>
            <w:r/>
          </w:p>
        </w:tc>
        <w:tc>
          <w:tcPr>
            <w:tcW w:w="1951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jc w:val="both"/>
              <w:rPr>
                <w:highlight w:val="none"/>
              </w:rPr>
            </w:pPr>
            <w:r>
              <w:rPr>
                <w:sz w:val="23"/>
                <w:szCs w:val="23"/>
                <w:highlight w:val="none"/>
                <w:lang w:eastAsia="ru-RU"/>
              </w:rPr>
              <w:t xml:space="preserve">Подготовка ежегодного доклада о муниципальном контроле и размещение сведений, включенных в него, посредством подсистемы сбора отчетности, обеспечивающей монитор</w:t>
            </w:r>
            <w:r>
              <w:rPr>
                <w:sz w:val="23"/>
                <w:szCs w:val="23"/>
                <w:highlight w:val="none"/>
                <w:lang w:eastAsia="ru-RU"/>
              </w:rPr>
              <w:t xml:space="preserve">инг и оценку эффективности контрольной (надзорной) деятельности и лицензирования, разрешительной деятельности, функционирующей в составе государственной информационной системы «Типовое облачное решение по автоматизации контрольной (надзорной) деятельности»</w:t>
            </w:r>
            <w:r>
              <w:rPr>
                <w:highlight w:val="none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left"/>
              <w:rPr>
                <w:highlight w:val="none"/>
              </w:rPr>
            </w:pPr>
            <w:r>
              <w:rPr>
                <w:sz w:val="23"/>
                <w:szCs w:val="23"/>
                <w:highlight w:val="none"/>
                <w:lang w:eastAsia="ru-RU"/>
              </w:rPr>
              <w:t xml:space="preserve">до 15.03.2025</w:t>
            </w:r>
            <w:r>
              <w:rPr>
                <w:highlight w:val="none"/>
              </w:rPr>
            </w:r>
            <w:r/>
          </w:p>
        </w:tc>
        <w:tc>
          <w:tcPr>
            <w:tcW w:w="1951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jc w:val="both"/>
              <w:rPr>
                <w:highlight w:val="none"/>
              </w:rPr>
            </w:pPr>
            <w:r>
              <w:rPr>
                <w:sz w:val="23"/>
                <w:szCs w:val="23"/>
                <w:highlight w:val="none"/>
                <w:lang w:eastAsia="ru-RU"/>
              </w:rPr>
              <w:t xml:space="preserve">Размещение ежегодного доклада о муниципал</w:t>
            </w:r>
            <w:bookmarkStart w:id="0" w:name="undefined"/>
            <w:r>
              <w:rPr>
                <w:highlight w:val="none"/>
              </w:rPr>
            </w:r>
            <w:bookmarkEnd w:id="0"/>
            <w:r>
              <w:rPr>
                <w:sz w:val="23"/>
                <w:szCs w:val="23"/>
                <w:highlight w:val="none"/>
                <w:lang w:eastAsia="ru-RU"/>
              </w:rPr>
              <w:t xml:space="preserve">ьном контроле на официальном Интернет-сайте города Барнаула</w:t>
            </w:r>
            <w:r>
              <w:rPr>
                <w:highlight w:val="none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left"/>
              <w:rPr>
                <w:highlight w:val="none"/>
              </w:rPr>
            </w:pPr>
            <w:r>
              <w:rPr>
                <w:sz w:val="23"/>
                <w:szCs w:val="23"/>
                <w:highlight w:val="none"/>
                <w:lang w:eastAsia="ru-RU"/>
              </w:rPr>
              <w:t xml:space="preserve">до 30.03.2025</w:t>
            </w:r>
            <w:r>
              <w:rPr>
                <w:highlight w:val="none"/>
              </w:rPr>
            </w:r>
            <w:r/>
          </w:p>
        </w:tc>
        <w:tc>
          <w:tcPr>
            <w:tcW w:w="1951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76"/>
        </w:trPr>
        <w:tc>
          <w:tcPr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  <w:outlineLvl w:val="2"/>
            </w:pPr>
            <w:r>
              <w:rPr>
                <w:sz w:val="24"/>
                <w:szCs w:val="24"/>
              </w:rPr>
              <w:t xml:space="preserve">Проведение совещаний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по вопросам обобщения правоприменительной практики осуществления муниципального контроля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года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(не реже 1 раза </w:t>
            </w:r>
            <w:r>
              <w:rPr>
                <w:sz w:val="24"/>
                <w:szCs w:val="24"/>
              </w:rPr>
              <w:t xml:space="preserve">в год)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951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1275"/>
        </w:trPr>
        <w:tc>
          <w:tcPr>
            <w:tcW w:w="67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  <w:outlineLvl w:val="2"/>
            </w:pPr>
            <w:r>
              <w:rPr>
                <w:sz w:val="24"/>
                <w:szCs w:val="24"/>
              </w:rPr>
              <w:t xml:space="preserve">Проведение учеб муниципальных служащих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по вопросам обобщения правоприменительной практики осуществления муниципального контроля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26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951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W w:w="675" w:type="dxa"/>
            <w:vMerge w:val="restart"/>
            <w:textDirection w:val="lrTb"/>
            <w:noWrap w:val="false"/>
          </w:tcPr>
          <w:p>
            <w:pPr>
              <w:pStyle w:val="8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Объявление предостережения 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Объявление контролируемому лицу предостережения </w:t>
            </w:r>
            <w:r>
              <w:rPr>
                <w:sz w:val="24"/>
                <w:szCs w:val="24"/>
              </w:rPr>
              <w:t xml:space="preserve">о недопустимости нарушения обязательных требований </w:t>
            </w:r>
            <w:r>
              <w:rPr>
                <w:sz w:val="24"/>
                <w:szCs w:val="24"/>
              </w:rPr>
              <w:t xml:space="preserve">и предложение принять меры по обеспечению соблюдения обязательных требований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года (п</w:t>
            </w:r>
            <w:r>
              <w:rPr>
                <w:sz w:val="24"/>
                <w:szCs w:val="24"/>
              </w:rPr>
              <w:t xml:space="preserve">о мере необходимости</w:t>
            </w:r>
            <w:r>
              <w:rPr>
                <w:sz w:val="24"/>
                <w:szCs w:val="24"/>
              </w:rPr>
              <w:t xml:space="preserve">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951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Инспекторы муниципального контроля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Merge w:val="restart"/>
            <w:textDirection w:val="lrTb"/>
            <w:noWrap w:val="false"/>
          </w:tcPr>
          <w:p>
            <w:pPr>
              <w:pStyle w:val="8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  <w:outlineLvl w:val="2"/>
            </w:pPr>
            <w:r>
              <w:rPr>
                <w:sz w:val="24"/>
                <w:szCs w:val="24"/>
              </w:rPr>
              <w:t xml:space="preserve">Консультирование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  <w:outlineLvl w:val="2"/>
            </w:pPr>
            <w:r>
              <w:rPr>
                <w:sz w:val="24"/>
                <w:szCs w:val="24"/>
              </w:rPr>
              <w:t xml:space="preserve">Консультирование осуществляется муниципальными служащими в ходе личного приема, </w:t>
            </w:r>
            <w:r>
              <w:rPr>
                <w:sz w:val="24"/>
                <w:szCs w:val="24"/>
              </w:rPr>
              <w:t xml:space="preserve">а также по телефону по следующим вопросам: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  <w:outlineLvl w:val="2"/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разъяснение положений нормативных правовых актов, содержащих обязательные требования, оценка соблюдения которых осуществляется </w:t>
            </w:r>
            <w:r>
              <w:rPr>
                <w:sz w:val="24"/>
                <w:szCs w:val="24"/>
              </w:rPr>
              <w:t xml:space="preserve">в рамках муниципального контроля;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  <w:outlineLvl w:val="2"/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разъяснение положений нормативных правовых актов, регламентирующих порядок осуществления муниципального контроля;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  <w:outlineLvl w:val="2"/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порядок обжалования действий (бездействия) должностных лиц администрации района.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  <w:outlineLvl w:val="2"/>
            </w:pPr>
            <w:r>
              <w:rPr>
                <w:sz w:val="24"/>
                <w:szCs w:val="24"/>
              </w:rPr>
              <w:t xml:space="preserve">В случае если </w:t>
            </w:r>
            <w:r>
              <w:rPr>
                <w:sz w:val="24"/>
                <w:szCs w:val="24"/>
              </w:rPr>
              <w:t xml:space="preserve">в течение календарного года поступило 5 и более однотипных (по одним и тем </w:t>
            </w:r>
            <w:r>
              <w:rPr>
                <w:sz w:val="24"/>
                <w:szCs w:val="24"/>
              </w:rPr>
              <w:t xml:space="preserve">же вопросам) обращений контролируемых лиц и их представителей по указанным вопросам, консультирование осуществляется посредством размещения </w:t>
            </w:r>
            <w:r>
              <w:rPr>
                <w:sz w:val="24"/>
                <w:szCs w:val="24"/>
              </w:rPr>
              <w:t xml:space="preserve">на странице администрации района </w:t>
            </w:r>
            <w:r>
              <w:rPr>
                <w:sz w:val="24"/>
                <w:szCs w:val="24"/>
              </w:rPr>
              <w:t xml:space="preserve">на официальном Интернет-сайте города Барнаула письменного разъяснения, подписанного уполномоченным должностным лицом.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года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(по мере необходимости)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951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коммунального хозяйства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строительству и архитектуре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развитию предпринима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тельства и потребитель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скому рынку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делам молодежи, культуре, физкультуре и спорту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Merge w:val="restart"/>
            <w:textDirection w:val="lrTb"/>
            <w:noWrap w:val="false"/>
          </w:tcPr>
          <w:p>
            <w:pPr>
              <w:pStyle w:val="8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  <w:outlineLvl w:val="2"/>
            </w:pPr>
            <w:r>
              <w:rPr>
                <w:sz w:val="24"/>
                <w:szCs w:val="24"/>
              </w:rPr>
              <w:t xml:space="preserve">Профилактичес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кий визит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3260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профилактической беседы по месту осуществления деятельности контролируемого лица либо путем использования видео-конференц-связи, </w:t>
            </w:r>
            <w:r>
              <w:rPr>
                <w:sz w:val="24"/>
                <w:szCs w:val="24"/>
              </w:rPr>
              <w:t xml:space="preserve">с целью информирования </w:t>
            </w:r>
            <w:r>
              <w:rPr>
                <w:sz w:val="24"/>
                <w:szCs w:val="24"/>
              </w:rPr>
              <w:t xml:space="preserve">об обязательных требованиях, предъявляемых к его деятельности либо </w:t>
            </w:r>
            <w:r>
              <w:rPr>
                <w:sz w:val="24"/>
                <w:szCs w:val="24"/>
              </w:rPr>
              <w:t xml:space="preserve">к принадлежащим ему объектам контроля, </w:t>
            </w:r>
            <w:r>
              <w:rPr>
                <w:sz w:val="24"/>
                <w:szCs w:val="24"/>
              </w:rPr>
              <w:t xml:space="preserve">их соответствии критериям риска, основаниях и о рекомендуемых способах снижения категории риска, </w:t>
            </w:r>
            <w:r>
              <w:rPr>
                <w:sz w:val="24"/>
                <w:szCs w:val="24"/>
              </w:rPr>
              <w:t xml:space="preserve">а также о видах, содержании и </w:t>
            </w:r>
            <w:r>
              <w:rPr>
                <w:sz w:val="24"/>
                <w:szCs w:val="24"/>
              </w:rPr>
              <w:t xml:space="preserve">об интенсивности контрольных (надзорных) мероприятий, проводимых </w:t>
            </w:r>
            <w:r>
              <w:rPr>
                <w:sz w:val="24"/>
                <w:szCs w:val="24"/>
              </w:rPr>
              <w:t xml:space="preserve">в отношении объекта контроля исходя </w:t>
            </w:r>
            <w:r>
              <w:rPr>
                <w:sz w:val="24"/>
                <w:szCs w:val="24"/>
              </w:rPr>
              <w:t xml:space="preserve">из его отнесения </w:t>
            </w:r>
            <w:r>
              <w:rPr>
                <w:sz w:val="24"/>
                <w:szCs w:val="24"/>
              </w:rPr>
              <w:t xml:space="preserve">к соответствующей категории риска. 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ежеквартально не позднее 25 числа месяца, предшествующего началу очередного квартала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1951" w:type="dxa"/>
            <w:vMerge w:val="restart"/>
            <w:textDirection w:val="lrTb"/>
            <w:noWrap w:val="false"/>
          </w:tcPr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Инспекторы муниципального контроля</w:t>
            </w:r>
            <w:r/>
          </w:p>
          <w:p>
            <w:pPr>
              <w:pStyle w:val="87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jc w:val="center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pStyle w:val="872"/>
        <w:jc w:val="center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Раздел 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Показатели результативности и эффективности программы профилактики</w:t>
      </w:r>
      <w:r>
        <w:rPr>
          <w:sz w:val="28"/>
          <w:szCs w:val="28"/>
        </w:rPr>
      </w:r>
      <w:r/>
    </w:p>
    <w:p>
      <w:pPr>
        <w:pStyle w:val="872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2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Отчетные показатели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рограммы предназначены способствовать максимальному достижению сокращения количества нарушений субъектами, в отношении которых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осуществляется муниципальный контроль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включа</w:t>
      </w:r>
      <w:r>
        <w:rPr>
          <w:sz w:val="28"/>
          <w:szCs w:val="28"/>
        </w:rPr>
        <w:t xml:space="preserve">ют в себя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/>
    </w:p>
    <w:p>
      <w:pPr>
        <w:pStyle w:val="872"/>
        <w:ind w:firstLine="709"/>
        <w:jc w:val="both"/>
        <w:shd w:val="clear" w:color="auto" w:fill="ffffff"/>
        <w:tabs>
          <w:tab w:val="left" w:pos="8222" w:leader="none"/>
        </w:tabs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outlineLvl w:val="2"/>
      </w:pPr>
      <w:r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t xml:space="preserve">- долю нарушений, выявленных в ходе проведения контрольных мероприятий, от общего числа контрольных мероприятий, осуществленных в отношении подконтрольных субъектов. </w:t>
      </w:r>
      <w:r/>
    </w:p>
    <w:p>
      <w:pPr>
        <w:pStyle w:val="872"/>
        <w:ind w:firstLine="709"/>
        <w:jc w:val="both"/>
        <w:shd w:val="clear" w:color="auto" w:fill="ffffff"/>
        <w:tabs>
          <w:tab w:val="left" w:pos="8222" w:leader="none"/>
        </w:tabs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outlineLvl w:val="2"/>
      </w:pPr>
      <w:r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t xml:space="preserve"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 </w:t>
      </w:r>
      <w:r/>
    </w:p>
    <w:p>
      <w:pPr>
        <w:pStyle w:val="872"/>
        <w:ind w:firstLine="709"/>
        <w:jc w:val="both"/>
        <w:shd w:val="clear" w:color="auto" w:fill="ffffff"/>
        <w:tabs>
          <w:tab w:val="left" w:pos="8222" w:leader="none"/>
        </w:tabs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outlineLvl w:val="2"/>
      </w:pPr>
      <w:r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t xml:space="preserve">- дол</w:t>
      </w:r>
      <w:r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t xml:space="preserve">ю</w:t>
      </w:r>
      <w:r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t xml:space="preserve"> профилактических мероприятий в объеме контрольных мероприятий. </w:t>
      </w:r>
      <w:r/>
    </w:p>
    <w:p>
      <w:pPr>
        <w:pStyle w:val="872"/>
        <w:ind w:firstLine="708"/>
        <w:jc w:val="both"/>
        <w:rPr>
          <w:rFonts w:eastAsia="Arial"/>
          <w:color w:val="000000"/>
          <w:spacing w:val="-4"/>
          <w:sz w:val="28"/>
          <w:szCs w:val="28"/>
          <w:highlight w:val="none"/>
          <w:shd w:val="clear" w:color="auto" w:fill="ffffff"/>
        </w:rPr>
      </w:pPr>
      <w:r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t xml:space="preserve">Показатель рассчитывается как отношение количества проведенных профилактических мероприятий к количеству про</w:t>
      </w:r>
      <w:r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t xml:space="preserve">веденных контрольных мероприятий. </w:t>
      </w:r>
      <w:r>
        <w:rPr>
          <w:rFonts w:eastAsia="Arial"/>
          <w:color w:val="000000"/>
          <w:spacing w:val="-4"/>
          <w:sz w:val="28"/>
          <w:szCs w:val="28"/>
          <w:shd w:val="clear" w:color="auto" w:fill="ffffff"/>
        </w:rPr>
      </w:r>
      <w:r/>
    </w:p>
    <w:p>
      <w:pPr>
        <w:ind w:firstLine="708"/>
        <w:jc w:val="both"/>
        <w:rPr>
          <w:rFonts w:eastAsia="Arial"/>
          <w:color w:val="000000"/>
          <w:spacing w:val="-4"/>
          <w:sz w:val="28"/>
          <w:szCs w:val="28"/>
        </w:rPr>
      </w:pPr>
      <w:r>
        <w:rPr>
          <w:rFonts w:eastAsia="Arial"/>
          <w:color w:val="000000"/>
          <w:spacing w:val="-4"/>
          <w:sz w:val="28"/>
          <w:szCs w:val="28"/>
        </w:rPr>
      </w:r>
      <w:r>
        <w:rPr>
          <w:rFonts w:eastAsia="Arial"/>
          <w:color w:val="000000"/>
          <w:spacing w:val="-4"/>
          <w:sz w:val="28"/>
          <w:szCs w:val="28"/>
        </w:rPr>
      </w:r>
      <w:r/>
    </w:p>
    <w:p>
      <w:pPr>
        <w:ind w:firstLine="708"/>
        <w:jc w:val="both"/>
        <w:rPr>
          <w:rFonts w:eastAsia="Arial"/>
          <w:color w:val="000000"/>
          <w:spacing w:val="-4"/>
          <w:sz w:val="28"/>
          <w:szCs w:val="28"/>
        </w:rPr>
      </w:pPr>
      <w:r>
        <w:rPr>
          <w:rFonts w:eastAsia="Arial"/>
          <w:color w:val="000000"/>
          <w:spacing w:val="-4"/>
          <w:sz w:val="28"/>
          <w:szCs w:val="28"/>
        </w:rPr>
      </w:r>
      <w:r>
        <w:rPr>
          <w:rFonts w:eastAsia="Arial"/>
          <w:color w:val="000000"/>
          <w:spacing w:val="-4"/>
          <w:sz w:val="28"/>
          <w:szCs w:val="28"/>
        </w:rPr>
      </w:r>
      <w:r/>
    </w:p>
    <w:p>
      <w:pPr>
        <w:ind w:firstLine="708"/>
        <w:jc w:val="both"/>
        <w:rPr>
          <w:rFonts w:eastAsia="Arial"/>
          <w:color w:val="000000"/>
          <w:spacing w:val="-4"/>
          <w:sz w:val="28"/>
          <w:szCs w:val="28"/>
        </w:rPr>
      </w:pPr>
      <w:r>
        <w:rPr>
          <w:rFonts w:eastAsia="Arial"/>
          <w:color w:val="000000"/>
          <w:spacing w:val="-4"/>
          <w:sz w:val="28"/>
          <w:szCs w:val="28"/>
          <w:highlight w:val="none"/>
          <w:shd w:val="clear" w:color="auto" w:fill="ffffff"/>
        </w:rPr>
      </w:r>
      <w:r>
        <w:rPr>
          <w:rFonts w:eastAsia="Arial"/>
          <w:color w:val="000000"/>
          <w:spacing w:val="-4"/>
          <w:sz w:val="28"/>
          <w:szCs w:val="28"/>
          <w:highlight w:val="none"/>
          <w:shd w:val="clear" w:color="auto" w:fill="ffffff"/>
        </w:rPr>
      </w:r>
      <w:r/>
    </w:p>
    <w:p>
      <w:pPr>
        <w:pStyle w:val="872"/>
        <w:ind w:firstLine="708"/>
        <w:jc w:val="both"/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sectPr>
          <w:headerReference w:type="default" r:id="rId9"/>
          <w:headerReference w:type="even" r:id="rId10"/>
          <w:footnotePr/>
          <w:endnotePr/>
          <w:type w:val="nextPage"/>
          <w:pgSz w:w="11906" w:h="16838" w:orient="portrait"/>
          <w:pgMar w:top="1134" w:right="567" w:bottom="1106" w:left="1134" w:header="709" w:footer="709" w:gutter="0"/>
          <w:cols w:num="1" w:sep="0" w:space="708" w:equalWidth="1"/>
          <w:docGrid w:linePitch="360"/>
          <w:titlePg/>
        </w:sectPr>
      </w:pPr>
      <w:r>
        <w:rPr>
          <w:rFonts w:eastAsia="Arial"/>
          <w:color w:val="000000"/>
          <w:spacing w:val="-4"/>
          <w:sz w:val="28"/>
          <w:szCs w:val="28"/>
          <w:shd w:val="clear" w:color="auto" w:fill="ffffff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1985" w:bottom="1134" w:left="85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50102010706020507"/>
  </w:font>
  <w:font w:name="Courier New">
    <w:panose1 w:val="02070309020205020404"/>
  </w:font>
  <w:font w:name="Wingdings">
    <w:panose1 w:val="05000000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rPr>
        <w:rStyle w:val="887"/>
      </w:rPr>
      <w:framePr w:wrap="around" w:vAnchor="text" w:hAnchor="margin" w:xAlign="right" w:y="1"/>
    </w:pPr>
    <w:r>
      <w:rPr>
        <w:rStyle w:val="887"/>
      </w:rPr>
      <w:fldChar w:fldCharType="begin"/>
    </w:r>
    <w:r>
      <w:rPr>
        <w:rStyle w:val="887"/>
      </w:rPr>
      <w:instrText xml:space="preserve">PAGE  </w:instrText>
    </w:r>
    <w:r>
      <w:rPr>
        <w:rStyle w:val="887"/>
      </w:rPr>
      <w:fldChar w:fldCharType="separate"/>
    </w:r>
    <w:r>
      <w:rPr>
        <w:rStyle w:val="887"/>
      </w:rPr>
      <w:t xml:space="preserve">57</w:t>
    </w:r>
    <w:r>
      <w:rPr>
        <w:rStyle w:val="887"/>
      </w:rPr>
      <w:fldChar w:fldCharType="end"/>
    </w:r>
    <w:r>
      <w:rPr>
        <w:rStyle w:val="887"/>
      </w:rPr>
    </w:r>
    <w:r/>
  </w:p>
  <w:p>
    <w:pPr>
      <w:pStyle w:val="886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rPr>
        <w:rStyle w:val="887"/>
      </w:rPr>
      <w:framePr w:wrap="around" w:vAnchor="text" w:hAnchor="margin" w:xAlign="right" w:y="1"/>
    </w:pPr>
    <w:r>
      <w:rPr>
        <w:rStyle w:val="887"/>
      </w:rPr>
      <w:fldChar w:fldCharType="begin"/>
    </w:r>
    <w:r>
      <w:rPr>
        <w:rStyle w:val="887"/>
      </w:rPr>
      <w:instrText xml:space="preserve">PAGE  </w:instrText>
    </w:r>
    <w:r>
      <w:rPr>
        <w:rStyle w:val="887"/>
      </w:rPr>
      <w:fldChar w:fldCharType="end"/>
    </w:r>
    <w:r>
      <w:rPr>
        <w:rStyle w:val="887"/>
      </w:rPr>
    </w:r>
    <w:r/>
  </w:p>
  <w:p>
    <w:pPr>
      <w:pStyle w:val="886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2"/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2"/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2"/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2"/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2"/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2"/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2"/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2"/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2"/>
        <w:ind w:left="612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2"/>
        <w:ind w:left="1725" w:hanging="1005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2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2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2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2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2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2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2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2"/>
        <w:ind w:left="684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pStyle w:val="872"/>
        <w:ind w:left="928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pStyle w:val="872"/>
        <w:ind w:left="179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72"/>
        <w:ind w:left="25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72"/>
        <w:ind w:left="32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72"/>
        <w:ind w:left="395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72"/>
        <w:ind w:left="46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72"/>
        <w:ind w:left="53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72"/>
        <w:ind w:left="611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72"/>
        <w:ind w:left="683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2"/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2"/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2"/>
        <w:ind w:left="648" w:hanging="360"/>
        <w:tabs>
          <w:tab w:val="num" w:pos="64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2"/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6"/>
      <w:numFmt w:val="decimal"/>
      <w:isLgl w:val="false"/>
      <w:suff w:val="tab"/>
      <w:lvlText w:val="%1."/>
      <w:lvlJc w:val="left"/>
      <w:pPr>
        <w:pStyle w:val="872"/>
        <w:ind w:left="942" w:hanging="375"/>
      </w:pPr>
    </w:lvl>
    <w:lvl w:ilvl="1">
      <w:start w:val="1"/>
      <w:numFmt w:val="lowerLetter"/>
      <w:isLgl w:val="false"/>
      <w:suff w:val="tab"/>
      <w:lvlText w:val="%2."/>
      <w:lvlJc w:val="left"/>
      <w:pPr>
        <w:pStyle w:val="872"/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2"/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2"/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2"/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2"/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2"/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2"/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2"/>
        <w:ind w:left="668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2"/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"/>
      <w:lvlJc w:val="left"/>
      <w:pPr>
        <w:pStyle w:val="872"/>
        <w:ind w:left="1070" w:hanging="360"/>
        <w:tabs>
          <w:tab w:val="num" w:pos="1070" w:leader="none"/>
        </w:tabs>
      </w:pPr>
      <w:rPr>
        <w:rFonts w:ascii="Wingdings" w:hAnsi="Wingdings"/>
      </w:rPr>
    </w:lvl>
    <w:lvl w:ilvl="2">
      <w:start w:val="1"/>
      <w:numFmt w:val="lowerRoman"/>
      <w:isLgl w:val="false"/>
      <w:suff w:val="tab"/>
      <w:lvlText w:val="%3."/>
      <w:lvlJc w:val="right"/>
      <w:pPr>
        <w:pStyle w:val="87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2"/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2"/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pStyle w:val="872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72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72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72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72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72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72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72"/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2"/>
        <w:ind w:left="885" w:hanging="525"/>
        <w:tabs>
          <w:tab w:val="num" w:pos="88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2"/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2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2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2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2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2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2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2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2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2"/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68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8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0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2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4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6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8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0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28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72"/>
    <w:next w:val="872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>
    <w:name w:val="Heading 1 Char"/>
    <w:link w:val="694"/>
    <w:uiPriority w:val="9"/>
    <w:rPr>
      <w:rFonts w:ascii="Arial" w:hAnsi="Arial" w:eastAsia="Arial" w:cs="Arial"/>
      <w:sz w:val="40"/>
      <w:szCs w:val="40"/>
    </w:rPr>
  </w:style>
  <w:style w:type="paragraph" w:styleId="696">
    <w:name w:val="Heading 2"/>
    <w:basedOn w:val="872"/>
    <w:next w:val="872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link w:val="696"/>
    <w:uiPriority w:val="9"/>
    <w:rPr>
      <w:rFonts w:ascii="Arial" w:hAnsi="Arial" w:eastAsia="Arial" w:cs="Arial"/>
      <w:sz w:val="34"/>
    </w:rPr>
  </w:style>
  <w:style w:type="paragraph" w:styleId="698">
    <w:name w:val="Heading 3"/>
    <w:basedOn w:val="872"/>
    <w:next w:val="872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>
    <w:name w:val="Heading 3 Char"/>
    <w:link w:val="698"/>
    <w:uiPriority w:val="9"/>
    <w:rPr>
      <w:rFonts w:ascii="Arial" w:hAnsi="Arial" w:eastAsia="Arial" w:cs="Arial"/>
      <w:sz w:val="30"/>
      <w:szCs w:val="30"/>
    </w:rPr>
  </w:style>
  <w:style w:type="paragraph" w:styleId="700">
    <w:name w:val="Heading 4"/>
    <w:basedOn w:val="872"/>
    <w:next w:val="872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>
    <w:name w:val="Heading 4 Char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872"/>
    <w:next w:val="872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>
    <w:name w:val="Heading 5 Char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872"/>
    <w:next w:val="872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>
    <w:name w:val="Heading 6 Char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72"/>
    <w:next w:val="872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7 Char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872"/>
    <w:next w:val="872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>
    <w:name w:val="Heading 8 Char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872"/>
    <w:next w:val="872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9 Char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List Paragraph"/>
    <w:basedOn w:val="872"/>
    <w:uiPriority w:val="34"/>
    <w:qFormat/>
    <w:pPr>
      <w:contextualSpacing/>
      <w:ind w:left="720"/>
    </w:pPr>
  </w:style>
  <w:style w:type="paragraph" w:styleId="713">
    <w:name w:val="No Spacing"/>
    <w:uiPriority w:val="1"/>
    <w:qFormat/>
    <w:pPr>
      <w:spacing w:before="0" w:after="0" w:line="240" w:lineRule="auto"/>
    </w:pPr>
  </w:style>
  <w:style w:type="paragraph" w:styleId="714">
    <w:name w:val="Title"/>
    <w:basedOn w:val="872"/>
    <w:next w:val="872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5">
    <w:name w:val="Title Char"/>
    <w:link w:val="714"/>
    <w:uiPriority w:val="10"/>
    <w:rPr>
      <w:sz w:val="48"/>
      <w:szCs w:val="48"/>
    </w:rPr>
  </w:style>
  <w:style w:type="paragraph" w:styleId="716">
    <w:name w:val="Subtitle"/>
    <w:basedOn w:val="872"/>
    <w:next w:val="872"/>
    <w:link w:val="717"/>
    <w:uiPriority w:val="11"/>
    <w:qFormat/>
    <w:pPr>
      <w:spacing w:before="200" w:after="200"/>
    </w:pPr>
    <w:rPr>
      <w:sz w:val="24"/>
      <w:szCs w:val="24"/>
    </w:rPr>
  </w:style>
  <w:style w:type="character" w:styleId="717">
    <w:name w:val="Subtitle Char"/>
    <w:link w:val="716"/>
    <w:uiPriority w:val="11"/>
    <w:rPr>
      <w:sz w:val="24"/>
      <w:szCs w:val="24"/>
    </w:rPr>
  </w:style>
  <w:style w:type="paragraph" w:styleId="718">
    <w:name w:val="Quote"/>
    <w:basedOn w:val="872"/>
    <w:next w:val="872"/>
    <w:link w:val="719"/>
    <w:uiPriority w:val="29"/>
    <w:qFormat/>
    <w:pPr>
      <w:ind w:left="720" w:right="720"/>
    </w:pPr>
    <w:rPr>
      <w:i/>
    </w:rPr>
  </w:style>
  <w:style w:type="character" w:styleId="719">
    <w:name w:val="Quote Char"/>
    <w:link w:val="718"/>
    <w:uiPriority w:val="29"/>
    <w:rPr>
      <w:i/>
    </w:rPr>
  </w:style>
  <w:style w:type="paragraph" w:styleId="720">
    <w:name w:val="Intense Quote"/>
    <w:basedOn w:val="872"/>
    <w:next w:val="872"/>
    <w:link w:val="72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>
    <w:name w:val="Intense Quote Char"/>
    <w:link w:val="720"/>
    <w:uiPriority w:val="30"/>
    <w:rPr>
      <w:i/>
    </w:rPr>
  </w:style>
  <w:style w:type="paragraph" w:styleId="722">
    <w:name w:val="Header"/>
    <w:basedOn w:val="872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Header Char"/>
    <w:link w:val="722"/>
    <w:uiPriority w:val="99"/>
  </w:style>
  <w:style w:type="paragraph" w:styleId="724">
    <w:name w:val="Footer"/>
    <w:basedOn w:val="872"/>
    <w:link w:val="7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>
    <w:name w:val="Footer Char"/>
    <w:link w:val="724"/>
    <w:uiPriority w:val="99"/>
  </w:style>
  <w:style w:type="paragraph" w:styleId="726">
    <w:name w:val="Caption"/>
    <w:basedOn w:val="872"/>
    <w:next w:val="87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7">
    <w:name w:val="Caption Char"/>
    <w:basedOn w:val="726"/>
    <w:link w:val="724"/>
    <w:uiPriority w:val="99"/>
  </w:style>
  <w:style w:type="table" w:styleId="72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000ff" w:themeColor="hyperlink"/>
      <w:u w:val="single"/>
    </w:rPr>
  </w:style>
  <w:style w:type="paragraph" w:styleId="855">
    <w:name w:val="footnote text"/>
    <w:basedOn w:val="872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>
    <w:name w:val="Footnote Text Char"/>
    <w:link w:val="855"/>
    <w:uiPriority w:val="99"/>
    <w:rPr>
      <w:sz w:val="18"/>
    </w:rPr>
  </w:style>
  <w:style w:type="character" w:styleId="857">
    <w:name w:val="footnote reference"/>
    <w:uiPriority w:val="99"/>
    <w:unhideWhenUsed/>
    <w:rPr>
      <w:vertAlign w:val="superscript"/>
    </w:rPr>
  </w:style>
  <w:style w:type="paragraph" w:styleId="858">
    <w:name w:val="endnote text"/>
    <w:basedOn w:val="872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>
    <w:name w:val="Endnote Text Char"/>
    <w:link w:val="858"/>
    <w:uiPriority w:val="99"/>
    <w:rPr>
      <w:sz w:val="20"/>
    </w:rPr>
  </w:style>
  <w:style w:type="character" w:styleId="860">
    <w:name w:val="endnote reference"/>
    <w:uiPriority w:val="99"/>
    <w:semiHidden/>
    <w:unhideWhenUsed/>
    <w:rPr>
      <w:vertAlign w:val="superscript"/>
    </w:rPr>
  </w:style>
  <w:style w:type="paragraph" w:styleId="861">
    <w:name w:val="toc 1"/>
    <w:basedOn w:val="872"/>
    <w:next w:val="872"/>
    <w:uiPriority w:val="39"/>
    <w:unhideWhenUsed/>
    <w:pPr>
      <w:ind w:left="0" w:right="0" w:firstLine="0"/>
      <w:spacing w:after="57"/>
    </w:pPr>
  </w:style>
  <w:style w:type="paragraph" w:styleId="862">
    <w:name w:val="toc 2"/>
    <w:basedOn w:val="872"/>
    <w:next w:val="872"/>
    <w:uiPriority w:val="39"/>
    <w:unhideWhenUsed/>
    <w:pPr>
      <w:ind w:left="283" w:right="0" w:firstLine="0"/>
      <w:spacing w:after="57"/>
    </w:pPr>
  </w:style>
  <w:style w:type="paragraph" w:styleId="863">
    <w:name w:val="toc 3"/>
    <w:basedOn w:val="872"/>
    <w:next w:val="872"/>
    <w:uiPriority w:val="39"/>
    <w:unhideWhenUsed/>
    <w:pPr>
      <w:ind w:left="567" w:right="0" w:firstLine="0"/>
      <w:spacing w:after="57"/>
    </w:pPr>
  </w:style>
  <w:style w:type="paragraph" w:styleId="864">
    <w:name w:val="toc 4"/>
    <w:basedOn w:val="872"/>
    <w:next w:val="872"/>
    <w:uiPriority w:val="39"/>
    <w:unhideWhenUsed/>
    <w:pPr>
      <w:ind w:left="850" w:right="0" w:firstLine="0"/>
      <w:spacing w:after="57"/>
    </w:pPr>
  </w:style>
  <w:style w:type="paragraph" w:styleId="865">
    <w:name w:val="toc 5"/>
    <w:basedOn w:val="872"/>
    <w:next w:val="872"/>
    <w:uiPriority w:val="39"/>
    <w:unhideWhenUsed/>
    <w:pPr>
      <w:ind w:left="1134" w:right="0" w:firstLine="0"/>
      <w:spacing w:after="57"/>
    </w:pPr>
  </w:style>
  <w:style w:type="paragraph" w:styleId="866">
    <w:name w:val="toc 6"/>
    <w:basedOn w:val="872"/>
    <w:next w:val="872"/>
    <w:uiPriority w:val="39"/>
    <w:unhideWhenUsed/>
    <w:pPr>
      <w:ind w:left="1417" w:right="0" w:firstLine="0"/>
      <w:spacing w:after="57"/>
    </w:pPr>
  </w:style>
  <w:style w:type="paragraph" w:styleId="867">
    <w:name w:val="toc 7"/>
    <w:basedOn w:val="872"/>
    <w:next w:val="872"/>
    <w:uiPriority w:val="39"/>
    <w:unhideWhenUsed/>
    <w:pPr>
      <w:ind w:left="1701" w:right="0" w:firstLine="0"/>
      <w:spacing w:after="57"/>
    </w:pPr>
  </w:style>
  <w:style w:type="paragraph" w:styleId="868">
    <w:name w:val="toc 8"/>
    <w:basedOn w:val="872"/>
    <w:next w:val="872"/>
    <w:uiPriority w:val="39"/>
    <w:unhideWhenUsed/>
    <w:pPr>
      <w:ind w:left="1984" w:right="0" w:firstLine="0"/>
      <w:spacing w:after="57"/>
    </w:pPr>
  </w:style>
  <w:style w:type="paragraph" w:styleId="869">
    <w:name w:val="toc 9"/>
    <w:basedOn w:val="872"/>
    <w:next w:val="872"/>
    <w:uiPriority w:val="39"/>
    <w:unhideWhenUsed/>
    <w:pPr>
      <w:ind w:left="2268" w:right="0" w:firstLine="0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872"/>
    <w:next w:val="872"/>
    <w:uiPriority w:val="99"/>
    <w:unhideWhenUsed/>
    <w:pPr>
      <w:spacing w:after="0" w:afterAutospacing="0"/>
    </w:pPr>
  </w:style>
  <w:style w:type="paragraph" w:styleId="872" w:default="1">
    <w:name w:val="Normal"/>
    <w:next w:val="872"/>
    <w:link w:val="872"/>
    <w:qFormat/>
    <w:rPr>
      <w:sz w:val="24"/>
      <w:szCs w:val="24"/>
      <w:lang w:val="ru-RU" w:eastAsia="ru-RU" w:bidi="ar-SA"/>
    </w:rPr>
  </w:style>
  <w:style w:type="paragraph" w:styleId="873">
    <w:name w:val="Заголовок 1"/>
    <w:basedOn w:val="872"/>
    <w:next w:val="872"/>
    <w:link w:val="872"/>
    <w:qFormat/>
    <w:pPr>
      <w:keepNext/>
      <w:outlineLvl w:val="0"/>
    </w:pPr>
    <w:rPr>
      <w:sz w:val="28"/>
    </w:rPr>
  </w:style>
  <w:style w:type="paragraph" w:styleId="874">
    <w:name w:val="Заголовок 2"/>
    <w:basedOn w:val="872"/>
    <w:next w:val="872"/>
    <w:link w:val="872"/>
    <w:qFormat/>
    <w:pPr>
      <w:jc w:val="center"/>
      <w:keepNext/>
      <w:outlineLvl w:val="1"/>
    </w:pPr>
    <w:rPr>
      <w:sz w:val="40"/>
    </w:rPr>
  </w:style>
  <w:style w:type="paragraph" w:styleId="875">
    <w:name w:val="Заголовок 3"/>
    <w:basedOn w:val="872"/>
    <w:next w:val="872"/>
    <w:link w:val="881"/>
    <w:qFormat/>
    <w:pPr>
      <w:jc w:val="center"/>
      <w:keepNext/>
      <w:outlineLvl w:val="2"/>
    </w:pPr>
    <w:rPr>
      <w:sz w:val="32"/>
      <w:lang w:val="en-US" w:eastAsia="en-US"/>
    </w:rPr>
  </w:style>
  <w:style w:type="paragraph" w:styleId="876">
    <w:name w:val="Заголовок 4"/>
    <w:basedOn w:val="872"/>
    <w:next w:val="872"/>
    <w:link w:val="872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877">
    <w:name w:val="Заголовок 7"/>
    <w:basedOn w:val="872"/>
    <w:next w:val="872"/>
    <w:link w:val="882"/>
    <w:qFormat/>
    <w:pPr>
      <w:keepNext/>
      <w:outlineLvl w:val="6"/>
    </w:pPr>
    <w:rPr>
      <w:sz w:val="28"/>
      <w:szCs w:val="20"/>
      <w:lang w:val="en-US" w:eastAsia="en-US"/>
    </w:rPr>
  </w:style>
  <w:style w:type="character" w:styleId="878">
    <w:name w:val="Основной шрифт абзаца"/>
    <w:next w:val="878"/>
    <w:link w:val="872"/>
    <w:semiHidden/>
  </w:style>
  <w:style w:type="table" w:styleId="879">
    <w:name w:val="Обычная таблица"/>
    <w:next w:val="879"/>
    <w:link w:val="872"/>
    <w:semiHidden/>
    <w:tblPr/>
  </w:style>
  <w:style w:type="numbering" w:styleId="880">
    <w:name w:val="Нет списка"/>
    <w:next w:val="880"/>
    <w:link w:val="872"/>
    <w:uiPriority w:val="99"/>
    <w:semiHidden/>
  </w:style>
  <w:style w:type="character" w:styleId="881">
    <w:name w:val="Заголовок 3 Знак"/>
    <w:next w:val="881"/>
    <w:link w:val="875"/>
    <w:rPr>
      <w:sz w:val="32"/>
      <w:szCs w:val="24"/>
    </w:rPr>
  </w:style>
  <w:style w:type="character" w:styleId="882">
    <w:name w:val="Заголовок 7 Знак"/>
    <w:next w:val="882"/>
    <w:link w:val="877"/>
    <w:rPr>
      <w:sz w:val="28"/>
    </w:rPr>
  </w:style>
  <w:style w:type="paragraph" w:styleId="883">
    <w:name w:val="Основной текст"/>
    <w:basedOn w:val="872"/>
    <w:next w:val="883"/>
    <w:link w:val="884"/>
    <w:rPr>
      <w:sz w:val="28"/>
      <w:lang w:val="en-US" w:eastAsia="en-US"/>
    </w:rPr>
  </w:style>
  <w:style w:type="character" w:styleId="884">
    <w:name w:val="Основной текст Знак"/>
    <w:next w:val="884"/>
    <w:link w:val="883"/>
    <w:rPr>
      <w:sz w:val="28"/>
      <w:szCs w:val="24"/>
    </w:rPr>
  </w:style>
  <w:style w:type="paragraph" w:styleId="885">
    <w:name w:val="Текст выноски"/>
    <w:basedOn w:val="872"/>
    <w:next w:val="885"/>
    <w:link w:val="872"/>
    <w:semiHidden/>
    <w:rPr>
      <w:rFonts w:ascii="Tahoma" w:hAnsi="Tahoma" w:cs="Tahoma"/>
      <w:sz w:val="16"/>
      <w:szCs w:val="16"/>
    </w:rPr>
  </w:style>
  <w:style w:type="paragraph" w:styleId="886">
    <w:name w:val="Верхний колонтитул"/>
    <w:basedOn w:val="872"/>
    <w:next w:val="886"/>
    <w:link w:val="872"/>
    <w:pPr>
      <w:tabs>
        <w:tab w:val="center" w:pos="4677" w:leader="none"/>
        <w:tab w:val="right" w:pos="9355" w:leader="none"/>
      </w:tabs>
    </w:pPr>
  </w:style>
  <w:style w:type="character" w:styleId="887">
    <w:name w:val="Номер страницы"/>
    <w:basedOn w:val="878"/>
    <w:next w:val="887"/>
    <w:link w:val="872"/>
  </w:style>
  <w:style w:type="paragraph" w:styleId="888">
    <w:name w:val="Основной текст с отступом"/>
    <w:basedOn w:val="872"/>
    <w:next w:val="888"/>
    <w:link w:val="872"/>
    <w:pPr>
      <w:ind w:left="283"/>
      <w:spacing w:after="120"/>
    </w:pPr>
  </w:style>
  <w:style w:type="paragraph" w:styleId="889">
    <w:name w:val="Основной текст 2"/>
    <w:basedOn w:val="872"/>
    <w:next w:val="889"/>
    <w:link w:val="890"/>
    <w:pPr>
      <w:spacing w:after="120" w:line="480" w:lineRule="auto"/>
    </w:pPr>
    <w:rPr>
      <w:lang w:val="en-US" w:eastAsia="en-US"/>
    </w:rPr>
  </w:style>
  <w:style w:type="character" w:styleId="890">
    <w:name w:val="Основной текст 2 Знак"/>
    <w:next w:val="890"/>
    <w:link w:val="889"/>
    <w:rPr>
      <w:sz w:val="24"/>
      <w:szCs w:val="24"/>
    </w:rPr>
  </w:style>
  <w:style w:type="paragraph" w:styleId="891">
    <w:name w:val="Нижний колонтитул"/>
    <w:basedOn w:val="872"/>
    <w:next w:val="891"/>
    <w:link w:val="892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92">
    <w:name w:val="Нижний колонтитул Знак"/>
    <w:next w:val="892"/>
    <w:link w:val="891"/>
    <w:rPr>
      <w:sz w:val="24"/>
      <w:szCs w:val="24"/>
    </w:rPr>
  </w:style>
  <w:style w:type="paragraph" w:styleId="893">
    <w:name w:val="Схема документа"/>
    <w:basedOn w:val="872"/>
    <w:next w:val="893"/>
    <w:link w:val="894"/>
    <w:rPr>
      <w:rFonts w:ascii="Tahoma" w:hAnsi="Tahoma"/>
      <w:sz w:val="16"/>
      <w:szCs w:val="16"/>
      <w:lang w:val="en-US" w:eastAsia="en-US"/>
    </w:rPr>
  </w:style>
  <w:style w:type="character" w:styleId="894">
    <w:name w:val="Схема документа Знак"/>
    <w:next w:val="894"/>
    <w:link w:val="893"/>
    <w:rPr>
      <w:rFonts w:ascii="Tahoma" w:hAnsi="Tahoma" w:cs="Tahoma"/>
      <w:sz w:val="16"/>
      <w:szCs w:val="16"/>
    </w:rPr>
  </w:style>
  <w:style w:type="character" w:styleId="895">
    <w:name w:val="Гиперссылка"/>
    <w:next w:val="895"/>
    <w:link w:val="872"/>
    <w:uiPriority w:val="99"/>
    <w:unhideWhenUsed/>
    <w:rPr>
      <w:color w:val="0000ff"/>
      <w:u w:val="single"/>
    </w:rPr>
  </w:style>
  <w:style w:type="paragraph" w:styleId="896">
    <w:name w:val="Обычный (веб)"/>
    <w:basedOn w:val="872"/>
    <w:next w:val="896"/>
    <w:link w:val="872"/>
    <w:uiPriority w:val="99"/>
    <w:unhideWhenUsed/>
    <w:pPr>
      <w:spacing w:before="100" w:beforeAutospacing="1" w:after="100" w:afterAutospacing="1"/>
    </w:pPr>
  </w:style>
  <w:style w:type="paragraph" w:styleId="897">
    <w:name w:val="ConsPlusNormal"/>
    <w:next w:val="897"/>
    <w:link w:val="872"/>
    <w:pPr>
      <w:widowControl w:val="off"/>
    </w:pPr>
    <w:rPr>
      <w:sz w:val="24"/>
      <w:lang w:val="ru-RU" w:eastAsia="ru-RU" w:bidi="ar-SA"/>
    </w:rPr>
  </w:style>
  <w:style w:type="paragraph" w:styleId="898">
    <w:name w:val="ConsPlusTitle"/>
    <w:next w:val="898"/>
    <w:link w:val="872"/>
    <w:pPr>
      <w:widowControl w:val="off"/>
    </w:pPr>
    <w:rPr>
      <w:b/>
      <w:sz w:val="24"/>
      <w:lang w:val="ru-RU" w:eastAsia="ru-RU" w:bidi="ar-SA"/>
    </w:rPr>
  </w:style>
  <w:style w:type="paragraph" w:styleId="899">
    <w:name w:val="Абзац списка"/>
    <w:basedOn w:val="872"/>
    <w:next w:val="899"/>
    <w:link w:val="872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paragraph" w:styleId="900">
    <w:name w:val="Default"/>
    <w:next w:val="900"/>
    <w:link w:val="872"/>
    <w:rPr>
      <w:rFonts w:ascii="Arial" w:hAnsi="Arial" w:cs="Arial"/>
      <w:color w:val="000000"/>
      <w:sz w:val="24"/>
      <w:szCs w:val="24"/>
      <w:lang w:val="ru-RU" w:eastAsia="ru-RU" w:bidi="ar-SA"/>
    </w:rPr>
  </w:style>
  <w:style w:type="character" w:styleId="901">
    <w:name w:val="Гипертекстовая ссылка"/>
    <w:next w:val="901"/>
    <w:link w:val="872"/>
    <w:uiPriority w:val="99"/>
    <w:rPr>
      <w:color w:val="106bbe"/>
    </w:rPr>
  </w:style>
  <w:style w:type="table" w:styleId="902">
    <w:name w:val="Сетка таблицы"/>
    <w:basedOn w:val="879"/>
    <w:next w:val="902"/>
    <w:link w:val="872"/>
    <w:tblPr/>
  </w:style>
  <w:style w:type="character" w:styleId="903">
    <w:name w:val="selector_content"/>
    <w:next w:val="903"/>
    <w:link w:val="872"/>
  </w:style>
  <w:style w:type="character" w:styleId="904" w:default="1">
    <w:name w:val="Default Paragraph Font"/>
    <w:uiPriority w:val="1"/>
    <w:semiHidden/>
    <w:unhideWhenUsed/>
  </w:style>
  <w:style w:type="numbering" w:styleId="905" w:default="1">
    <w:name w:val="No List"/>
    <w:uiPriority w:val="99"/>
    <w:semiHidden/>
    <w:unhideWhenUsed/>
  </w:style>
  <w:style w:type="table" w:styleId="90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ONLYOFFICE/7.2.1.36</Application>
  <Company>Комитет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ЗЕМЕЛЬНЫМ РЕСУРСАМ И ЗЕМЕЛЕУСТРОЙСТВУ</dc:title>
  <dc:creator>Болгова</dc:creator>
  <cp:revision>40</cp:revision>
  <dcterms:created xsi:type="dcterms:W3CDTF">2022-09-28T08:14:00Z</dcterms:created>
  <dcterms:modified xsi:type="dcterms:W3CDTF">2024-09-25T10:00:40Z</dcterms:modified>
  <cp:version>786432</cp:version>
</cp:coreProperties>
</file>